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10.04.2019, оставленным без изменения постановлением Третьего арбитражного апелляционного суда от 14.08.2019 и постановлением Арбитражного суда Восточно-Сибирского округа от 10.12.2019, иск удовлетворен. В кассационной жалобе общество «Герефорд» просит о пересмотре судебных актов, ссылаясь на несоблюдение истцом договорного порядка приемки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поставки от 18.08.2017 № 058-ОПП/2017, суды установили недопоставку товара, поэтому, руководствуясь статьями 330 , 395 , 475 , 506 , 516 Гражданского кодекса Российской Федерации, удовлетворили иск. Довод о ненадлежащей приемке товара отклонен в связи с игнорированием заявителем вызова для участия в приемке.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«Герефорд»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