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«Awesome Splendor Ltd.» («Осом Сплендор Лтд»; далее – компания) обратилась в суд с заявлением о включении в реестр требований кредиторов должника задолженности в размере 391 486 066 рублей 68 копеек. Определением Арбитражного суда города Москвы от 31.05.2019, оставленным без изменения постановлениями Девятого арбитражного апелляционного суда от 20.08.2019 и Арбитражного суда Московского округа от 13.11.2019, требование компании признано обоснованным и включено в третью очередь реестра.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807, 808, 863 Гражданского кодекса Российской Федерации,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требование компании подтверждено документально, основано на заёмной сделке с рыночными условиями и реальным исполнением, заявлено в пределах установленного законом срока, в связи с чем является обоснованным и подлежит учёту в составе третьей очереди реестра.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«Газпром»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