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07.03.2019, оставленным без изменения постановлением Девятого арбитражного апелляционного суда от 17.06.2019 и постановлением Арбитражного суда Московского округа от 14.11.2019, иск удовлетворен. В кассационной жалобе общество «Мосинжпроект» просит о пересмотре судебных актов, ссылаясь на неправильное определение момента начала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необходимости исчисления срока исковой давности с момента уведомления им истца об отказе от договора противоречит признанному в деле № А40-27788/2016 недействительным такого отказа. Вопрос об исковой давности разрешен судами в соответствии со статьями 196 , 199 , 200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«Мосинжпроект»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