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22.07.2019, оставленным без изменения постановлением Восемнадцатого арбитражного апелляционного суда от 26.09.2019, в удовлетворении заявления о пересмотре по вновь открывшимся обстоятельствам решения от 23.07.2018 отказано в связи с пропуском срока обращения с заявлением и предельного срока подачи ходатайства о восстановлении срока. Арбитражный суд Уральского округа постановлением от 06.12.2019 определение от 22.07.2019 и постановление Восемнадцатого арбитражного апелляционного суда от 26.09.2019 оставил без изменения. В кассационной жалобе публичное акционерное общество «АСКО-Страхование» просит об отмене судебных актов, ссылаясь на уважительность причины пропуска срока.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Оценка причины пропуска срока для подачи заявления о пересмотре судебного акта по вновь открывшимся обстоятельствам отнесена к компетенции суда, которому обращено ходатайство о восстановлении срока, и не подлежит пересмотру на стадии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«АСКО-Страхование»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