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12.04.2019 иск удовлетворен. Постановлением Пятнадцатого арбитражного апелляционного суда от 05.07.2019, оставленным без изменения постановлением Арбитражного суда Северо-Кавказского округа от 20.11.2019, решение изменено: иск удовлетворен частично в связи с перерасчетом процентов и неустойки исходя из периода просрочки исполнения обязательства. В кассационной жалобе фирма просит об отмене судебных актов, ссылаясь на необходимость исходя из обстоятельств правоотношений применения статьи 10 Гражданского кодекса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Заявленное основание для применения статьи 10 Гражданского кодекса Российской Федерации обсуждено апелляционным и окружным судами и не подлежит переоценке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«Фирма «Гешефт»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