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Кисляков К.В. обратился в суд с заявлением о признании договора купли-продажи от 10.12.2018 недействительным (ничтожным) в части пунктов 1.5, 1.6, 2.2.4, 2.2.5, раздел 3 договора (а именно пункты 3.1.-3.19., 3.20., 3.20.1.-3.20.10., 3.21.3.36.). Кисляков К.В. также просил обязать конкурсного управляющего должником Корчагина Николая Николаевича передать победителю торгов имущество: паровой котел БМ-35/39 (инв. № 00000075), паровой котёл БМ-35/39 (инв. № 00000076), дымосос ДН-21 (инв. № 00000118), дымосос ДН- 21 (инв. № 00000119), дымосос ДН-21 с эл. двигателем (инв. № 00000090), котел паровой БМ-35/39 (инв. № 00000077), насос ПЭ-100-53 (инв. № 00000094), насос ПЭ-100-53-315 Квт (инв. № 00000097), узел учета ТЭ пара (инв. № 000000492); обязать конкурсного управляющего обеспечить заявителю доступ к имуществу, указанному в пункте 1.1. договора, расположенному по адресу: г. Новоульяновск, проезд Промышленный, 1Д для его демонтажа и вывоза с территории здания котельной по акту приёма-передачи. 2 Определением Арбитражного суда Ульяновской области от 26.08.2019, оставленным Одиннадцатого арбитражного апелляционного суда от 18.10.2019 и Арбитражного суда Поволжского округа от 26.12.2019,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421, 447, 448 Гражданского кодекса Российской Федерации, статьями 9, 10, 110, 111 Федерального закона от 26.10.2002 № 127-ФЗ «О несостоятельности (банкротстве)», статьёй 17.1 Федерального закона от 26.07.2006 № 135-ФЗ «О защите конкуренции», исходили из того, что заявитель принял условия смешанного договора в редакции организатора торгов, был ознакомлен с данными условиями в полном объеме в ходе проведения процедуры торгов, однако своих обязательств исполнил. При таких условиях суды отказали в удовлетворения заявленных требований ввиду их направленности на изменение существенных условий договора вне установленной законом процедуры и последующее получение им преимуществ в рамках уже состоявшихся торгов, что недопустимо.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Кислякову Константину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