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ФИО2 (поставщик) обратился в Арбитражный суд Белгородской области с иском о взыскании с индивидуального предпринимателя ФИО1 (покупателя) 42 430 рублей долга по договору поставки от 01.07.2017 № 26. Решением Арбитражного суда Белгородской области от 15.05.2019 иск удовлетворен. Постановлением Девятнадцатого арбитражного апелляционного суда от 17.07.2019 решение суда первой инстанции оставлено без изменения. Арбитражный суд Центрального округа постановлением от 25.11.2019 указанные судебные акты оставил без изменения. Индивидуальный предприниматель ФИО1 обратилась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покупатель принял поставленный товар, руководствуясь положениями статей 182 , 309 , 310 , 402 , 506 , 516 Гражданского кодекса Российской Федерации, суды пришли к выводу о наличии оснований для удовлетворения иска.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