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11.06.2019, оставленным без изменения постановлением Семнадцатого арбитражного апелляционного суда 29.08.2019 и постановлением Арбитражного суда Уральского округа от 19.11.2019, в удовлетворении иска отказано. В кассационной жалобе общество «РЕМИ» просит о пересмотре судебных актов, ссылаясь на несоответствие выводов судов обстоятельствам исполнения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нарушение договорного срока заявления претензий о нескрытых недостатках товара, поэтому признали не доказанной поставку товара ненадлежащего качества в соответствии с условиями договора от 05.09.2018 № 05/09-2018 и статьями 309 , 310 , 421 , 475 , 476 , 506 , 518 Гражданского кодекса Российской Федерации.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«РЕМИ»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