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21.05.2019, оставленным без изменения постановлением Одиннадцатого арбитражного апелляционного суда от 02.08.2019, в удовлетворении иска отказано. Арбитражный суд Поволжского округа постановлением от 05.11.2019 решение от 21.05.2019 и постановление Одиннадцатого арбитражного апелляционного суда от 02.08.2019 оставил без изменения. В кассационной жалобе страховая группа просит об отмене судебных актов как незаконных вследствие неправомерной квалификации заявленной суммы в качестве неосновательного обогащения, признания ответчика слабой стороной и отсутствия у него договорной обязанности уплаты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договора страхования урожая сельскохозяйственных культур с государственной поддержкой от 01.06.2016 № СХУ9-ГО/16, суды отказали страховой группе в судебной защите права на получение второго взноса страховой премии на основании статьи 10 Гражданского кодекса Российской Федерации. Компетенцию на усмотрение в действиях страховой группы по исполнению договора нарушения пределов осуществления гражданских прав суды имели и мотивировали ее применение, поэтому оснований для вмешательства в ее проявление на стадии кассационного производства не имеется. Приведенные в жалобе доводы не соотносятся с мотивом отказа в удовлетворении иска, поэтому не могут повлиять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