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«Шерпа» обратилось в Арбитражный суд города Москвы с иском о взыскании с общества с ограниченной ответственностью «Восток» 595 802 рублей убытков в виде стоимости восстановительного ремонта и 1 359 806 рублей упущенной выгоды в виде неполученного дохода от эксплуатации транспортного средства. К участию в деле в качестве третьего лица, не заявляющего самостоятельных требований относительно предмета спора, привлечено акционерное общество «Сбербанк Лизинг». Решением Арбитражного суда города Москвы от 15.07.2019 в удовлетворении иска отказано. В суде апелляционной инстанции дело не рассматривалось. Арбитражный суд Московского округа постановлением от 27.11.2019 решение суда первой инстанции оставил без изменения. Общество с ограниченной ответственностью «Шерпа»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гарантийные обязательства ответчика были прекращены в связи с несоблюдением истцом условий заключенного договора купли-продажи – нарушение условий технического (гарантийного) обслуживания на сертифицированных технических сервисах сети дилеров производителя, руководствуясь положениями статей 15 , 393 Гражданского кодекса Российской Федерации, суд первой инстанции сделал вывод о недоказанности заявленных требований.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«Шерпа»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