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12.03.2019, оставленным без изменения постановлением Двенадцатого арбитражного апелляционного суда от 23.05.2019 и постановлением Арбитражного суда Поволжского округа от 15.11.2019, в удовлетворении иска отказано. В кассационной жалобе предприятие просит об отмене судебных актов, ссылаясь на отсутствие у общества законных правомочий на оказание требуемых условиями закупки услуг по обеспечению пропускного и внутриобъектового режима.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исследовав заявленные предприятием основания и доводы в соответствии со статьей 449 Гражданского кодекса Российской Федерации, нормами Федерального закона от 05.04.2013 № 44-ФЗ «О контрактной системе в сфере закупок товаров, работ, услуг для обеспечения государственных нужд», Федерального закона от 09.02.2007 № 16-ФЗ «О транспортной безопасности» и Федерального закона от 14.04.1999 № 77-ФЗ «О ведомственной охране», не установили условий для удовлетворения заявления, признав общество законно допускающимся для осуществления защиты объектов транспортной инфраструктуры, включая обеспечение пропускного и внутриобъектового режима. Приведенные в рассматриваемой жалобе доводы повторяют доводы, заявленные судам и получившие правовую оценку.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унитарному предприятию «Управление ведомственной охраны Министерства транспорта Российской Федерации»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