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«Рубин-В» (далее – Общество) обратилось в Арбитражный суд города Москвы с иском к государственному бюджетному учреждению «Жилищник Алексеевского района» (далее – Учреждение) о признании заключенным договора управления многоквартирным домом по адресу: &lt;...&gt; с момента возникновения у истца права собственности на помещение – 14.07.2015. К участию в деле в качестве третьего лица, не заявляющего самостоятельных требований относительно предмета спора, привлечен Департамент городского имущества города Москвы (далее – Департамент). Решением Арбитражного суда города Москвы от 12.04.2019, оставленным без изменения постановлением Девятого арбитражного апелляционного суда от 08.07.2019 и постановлением Арбитражного суда Московского округа от 20.11.2019,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принять новое решение об удовлетворении требований, ссылаясь на существенное нарушение норм материального права. В обоснование доводов жалобы заявитель указывает, что став собственником объекта недвижимости к нему перешли права и обязанности по спорному договору управления многоквартирным домом от 01.10.2007 в отношении нежилого помещения площадью 330кв.м.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26.12.2006 собственниками помещений в многоквартирном доме по адресу: &lt;...&gt; проведено заочное голосование, по итогам которого принято решение о выборе Учреждения в качестве управляющей организации и об утверждении условий договора управления многоквартирным домом. На основании указанного решения 01.10.2007 между Учреждением и Департаментом заключен договор управления многоквартирным домом. В обоснование требований Общество указало, что после приобретения 14.07.2015 права собственности на нежилое помещение площадью 330, 4 кв. м в указанном многоквартирном доме к нему перешли права и обязанности Департамента по договору от 01.10.2007 в части указанного нежилого помещения. Исследовав и оценив по правилам статьи 71 АПК РФ представленные доказательства, руководствуясь статьями 309 , 310 , 382 , 387 Гражданского кодекса Российской Федерации, суды отказали в удовлетворении требований, придя к правильному выводу, что Обществом в рассматриваемом случае избран ненадлежащий способ защиты нарушенного права. Судебными инстанциями отмечено, что сделка, по которой Департамент передал Обществу свои права из договора управления многоквартирным домом от 01.10.2007 в отношении нежилого помещения площадью 330, 4 кв. м, не заключалась; основания для перехода к истцу прав из указанного договора, предусмотренные пунктами 1-4 статьи 387 Гражданского кодекса не установлены. Между тем истец вправе как новый собственник помещения требовать от ответчика заключения договора управления с учетом положений Правил предоставлении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«Рубин-В»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