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Фирма «Август»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«МЛ-Транс» 13 130 155 рублей убытков в связи с утратой груза.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«М-Логистик». Решением Арбитражного суда города Москвы от 16.04.2019 иск удовлетворен. Прекращено производство в части требования о взыскании процентов за пользование чужими денежными средствами в связи с отказом от иска в указанной части и его принятия судом. Постановлением Девятого арбитражного апелляционного суда от 29.07.2019 решение суда первой инстанции оставлено без изменения. Арбитражный суд Московского округа постановлением от 19.12.2019 указанные судебные акты оставил без изменения. Общество с ограниченной ответственностью «МЛ-Транс»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принятия груза ответчиком и причинение ущерба истцу утратой груза в процессе его транспортировки, учитывая непредставление ответчиком доказательств того, что повреждение груза произошло вследствие обстоятельств, которые перевозчик не мог предотвратить и устранение которых от него не зависело, руководствуясь положениями статей 15 , 393 , 401 , 784 , 785 , 793 , 796 , 803 Гражданского кодекса Российской Федерации, суды пришли к выводу об обоснованности заявленного требования. Доводы об отсутствии доказательств передачи груза ответчику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«МЛ-Транс»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