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24.12.2018, оставленным без изменения постановлением Одиннадцатого арбитражного апелляционного суда от 12.07.2019, иск удовлетворен. Арбитражный суд Поволжского округа постановлением от 01.11.2019 решение от 24.12.2018 и постановление Одиннадцатого арбитражного апелляционного суда от 12.07.2019 оставил без изменения. В кассационной жалобе управление просит о пересмотре судебных актов как не соответствующих обстоятельствам дела и основанных на ненадлежащих доказательствах.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Вина как условие ответственности за вред (статья 1064 Гражданского кодекса Российской Федерации) устанавливается в деле о возмещении убытков независимо от наличия административного производства. Доводы управления о неустановленной судами принадлежности ему транспортного средства, вследствие использования которого причинены заявленные убытки, и вине управлявшего им лица опровергаются установленными судами обстоятельствами и не опровергнуты. Иная оценка обстоятельств дела и представленных доказательств, составляющая доводы жалобы, не образует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«Строительно-монтажное управление № 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