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01.04.2019, оставленным без изменения постановлением Девятого арбитражного апелляционного суда от 26.06.2019, в удовлетворении иска отказано. Арбитражный суд Московского округа постановлением от 01.11.2019 решение от 01.04.2019 и постановление Девятого арбитражного апелляционного суда от 26.06.2019 оставил без изменения. В кассационной жалобе учреждение просит об отмене судебных актов как незаконных.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Согласно статьям 845 , 854 , 858 Гражданского кодекса Российской Федерации распоряжение денежными средствами осуществляется клиентом или уполномоченными им лицами и может быть ограничено только в случаях, предусмотренных законом. После смерти гражданина права и обязанности в отношении принадлежащего ему банковского счета и находящихся на нем денежных средств переходят к правопреемникам в порядке наследования, вследствие чего требование о возврате спорной суммы не может быть обращено к банку, на что правильно указали суды.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государственному учреждению «Управление Пенсионного фонда Российской Федерации в городском округе г. Михайловка Волгоградской области»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