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21.03.2019, оставленным без изменения постановлением Первого арбитражного апелляционного суда от 26.06.2019 и постановлением Арбитражного суда Волго-Вятского округа от 06.11.2019, иск удовлетворен. В кассационной жалобе ФИО1 просит отменить судебные акты, ссылаясь на недоказанность факта поставки товара на спорную сумму.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истцом доказательства оценены судами в качестве подтверждающих получение ответчиком товара и наличие долга за него в заявленной сумме, вследствие чего иск удовлетворен в соответствии со статьями 486 , 506 , 516 , 1041 , 1042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