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Самарской области от 19.04.2019, оставленным без изменения постановлением Одиннадцатого арбитражного апелляционного суда от 05.07.2019, первоначальные исковые требования удовлетворены, встречные исковые требования удовлетворены частично. Постановлением Арбитражного суда Поволжского округа от 28.10.2019 решение и постановление апелляционной инстанции в части отказа во взыскании процентов по встречному иску отменено с передачей дела в этой части на новое рассмотрение в суд первой инстанции; в остальной части решение и постановление апелляционной инстанции оставлены без изменения. В кассационной жалобе общество «Специальные транспортные средства» просит об отмене судебных актов по первоначальному иску в части 2 незаконного взыскания стоимости восстановительного ремонта, расходов на экспертизу, расходов на транспортировку.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Ненадлежащее качество товара, переданного ответчиком (поставщиком) во исполнение договора поставки от 01.03.2017 № 0103-17, установлено судами по итогу исследования представленных доказательств, поэтому первоначальный иск удовлетворен в соответствии с обстоятельствами поставки и статьями 15, 393, 475 Гражданского кодекса Российской Федерации. Вопросы доказывания и оценки доказательств, положенные в основу жалобы, не составляют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«Специальные транспортные средства»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