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07.06.2019 иск удовлетворен. Пятнадцатый арбитражный апелляционный суд постановлением от 02.08.2019 отменил решение от 06.06.2019 и отказал в удовлетворении иска. Арбитражный суд Северо-Кавказского округа постановлением от 26.11.2019 отменил постановление Пятнадцатого арбитражного апелляционного суда от 02.08.2019 и оставил в силе решение от 07.06.2019. В кассационной жалобе предприятие просит об отмене постановления суда округа вследствие формального признания права на регресс.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Регрессный иск удовлетворен судом первой инстанции за допущенное предприятием нарушение, при котором регресс применяется в качестве последствия в силу подпункта «ж» пункта 1 статьи 14 Федерального закона от 25.04.2002 № 40-ФЗ «Об обязательном страховании гражданской ответственности владельцев транспортных средств». У суда апелляционной инстанции отсутствовало основание для отмены законного решения, на что правильно указал окружной суд, отменивший апелляционное постановление.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«Сочиавтотранс»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