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10.07.2019, оставленным без изменения постановлением Пятнадцатого арбитражного апелляционного суда от 26.09.2019 и постановлением Арбитражного суда Северо-Кавказского округа от 11.12.2019, производство по делу в части взыскания неосновательного обогащения прекращено на основании пункта 2 части 1 статьи 150 Арбитражного процессуального кодекса Российской Федерации, в удовлетворении требования о взыскании процентов за пользование чужими денежными средствами отказано в связи с истечением срока исковой давности, о применении которой заявил ответчик. В кассационной жалобе общество «Калипсо» просит об отмене судебных актов, ссылаясь на отсутствие тождества состава лиц и оснований ранее рассмотренного и данного дел, а также неправильное определение момента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тождество данного дела и ранее рассмотренного дела № А32-39366/2016 по субъектному составу, предмету и основаниям и оценили как неосновательные возражения о них заявителя, поэтому применили пункт 2 части 1 статьи 150 Арбитражного процессуального кодекса Российской Федерации правильно. Вопрос о применении исковой давности разрешен судами в соответствии со статьями 196 , 199 ,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«Калипсо»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