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кредиторы – Андрианова Людмила Викторовна, Бабин Андрей Мирославович, Багметова Ирина Алексеевна, Грушницкая Вера Михайловна, Куталова Ирина Анатольевна, Кухтиева Дарья Алексеевна, Крыжановская Анна Николаевна, Лунновая Ольга Олеговна, Майорова Ульяна Владимировна, Макаренко Евгений Юрьевич, Супрунов Виталий Анатольевич, Тарасов Сергей Вячеславович, Тарасова Ирина Владимировна, Ткачев Павел Петрович и Хромова Людмила Николаевна обратились в суд с заявлением о разрешении разногласий, возникших между ними и конкурсным управляющим по вопросу о порядке и условиях проведения торгов по реализации имущества должника, являющегося предметом залога. Определением Арбитражного суда города Санкт-Петербурга и Ленинградской области от 22.03.2019 в удовлетворении заявления отказано. Постановлением Тринадцатого арбитражного апелляционного суда от 09.09.2019, оставленным без изменения постановлением Арбитражного суда Северо-Западного округа от 26.12.2019, вышеуказанное определение отменено; в утверждении Положения о порядке и условиях проведения торгов по продаже имущества должника (далее – положение), находящегося в залоге у банка в редакции, предложенной им как залоговым кредитором, отказано. 2 В кассационной жалобе, поданной в Верховный Суд Российской Федерации, заявитель просит отменить постановления судов апелляционной инстанции и округа, определение суда первой инстанции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и разрешая спор, апелляционный суд руководствовался статьями 18.1, 110, 111, 134, 138 Федерального закона от 26.10.2002 № 127-ФЗ «О несостоятельности (банкротстве)», пунктом 9 постановления Пленума Высшего Арбитражного Суда Российской Федерации от 23.07.2009 № 58 «О некоторых вопросах, связанных с удовлетворением требований залогодержателя при банкротстве залогодателя» и исходил из того, что предложенные банком условия продажи единым лотом заложенного недвижимого имущества (двадцати трёх земельных участков с различными разрешённым использованием и договорами ипотеки по необоснованно заниженной начальной продажной цене) не обеспечат его эффективную реализацию, привлечение максимального количества потенциальных покупателей и получение наибольшей выручки в целях соблюдения баланса имущественных интересов всех кредиторов. Суд округа согласился с выводами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«Балтийский инвестиционный банк»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