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15.03.2019, оставленным без изменения постановлением Двенадцатого арбитражного апелляционного суда от 30.05.2019 и постановлением Арбитражного суда Поволжского округа от 11.11.2019, принят отказ предприятия от иска в части признания незаконными действий по проведению закупки с прекращением производства по делу в указанной части; в удовлетворении иска в остальной части отказано. В кассационной жалобе предприятие просит об отмене судебных актов, ссылаясь на отсутствие у общества законных правомочий на оказание закупаемых услуг по обеспечению пропускного и внутриобъектового режима.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заявленные предприятием основания и доводы в соответствии со статьей 449 Гражданского кодекса Российской Федерации, нормами Федерального закона от 05.04.2013 № 44-ФЗ «О контрактной системе в сфере закупок товаров, работ, услуг для обеспечения государственных нужд», Федерального закона от 09.02.2007 № 16-ФЗ «О транспортной безопасности» и Федерального закона от 14.04.1999 № 77-ФЗ «О ведомственной охране», не установили условий для удовлетворения заявления, признав общество законно допускающимся для осуществления защиты объектов транспортной инфраструктуры, включая оспариваемое обеспечение пропускного и внутриобъектового режима.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«Управление ведомственной охраны Министерства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