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«Чаплин» обратилось в Арбитражный суд Удмуртской Республики с иском о взыскании с закрытого акционерного общества «Производственно-финансовая компания «ЗАРДОН- групп» 3 500 000 рублей неосновательного обогащения, 511 335 рублей 60 копеек процентов за пользование чужими денежными средствами за период с 09.11.2016 по 31.07.2018, с продолжением начисления процентов по день фактической оплаты задолженности. К участию в деле в качестве третьих лиц, не заявляющих самостоятельных требований относительно предмета спора, привлечены Лукин Дмитрий Анатольевич, Осетров Дмитрий Сергеевич, индивидуальный предприниматель Бадртдинов Илдар Рафикович. Решением Арбитражного суда Удмуртской Республики от 08.04.2019 иск удовлетворен. Постановлением Семнадцатого арбитражного апелляционного суда от 29.07.2019 решение суда первой инстанции оставлено без изменения. 2 Арбитражный суд Уральского округа постановлением от 12.12.2019 указанные судебные акты отменил и направил дело на новое рассмотрение в Арбитражный суд Удмуртской Республики. Общество с ограниченной ответственностью «Чаплин» обратилась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«Чаплин»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