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Департамент городского имущества города Москвы (далее – департамент) обратился в суд с заявлением о включении в реестр требований кредиторов должника его требования в размере 779 858 254 рублей как обеспеченного залогом имущества должника. Определением Арбитражного суда города Москвы от 24.04.2019, оставленным без изменения постановлением Девятого арбитражного апелляционного суда от 02.07.2019, в удовлетворении заявления отказано. Постановлением Арбитражного суда Московского округа от 21.11.2019 вышеуказанные судебные акты отменены, требование департамента признано обоснованным и подлежащим удовлетворению за счёт имущества, оставшегося после удовлетворения требований реестровых кредиторов.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акты, суд округа, руководствуясь статьями 71 и 100, пунктами 1 и 4 статьи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того, что требование департамента является обоснованным и подтверждено документально, однако заявлено после закрытия реестра, в связи с чем обоснованно признал его незалоговым и подлежащим удовлетворению за счёт имущества должника, оставшегося после удовлетворения требований кредиторов, чьи требования заявлены в установленный срок.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непубличным акционерным обществом «Гармет» Лукьянову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