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марта 2020 года через электронный сервис «Мой Арбитр» общество обратилась в Верховный Суд Российской Федерации с кассационной жалобой на определение Арбитражного суда Свердловской области от 30.08.2019, постановление Семнадцатого арбитражного апелляционного суда от 07.11.2019 и постановление Арбитражного суда Уральского округа от 26.12.2019 по делу № А60-46584/2017.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Поскольку последним обжалуемым судебным актом является постановление Арбитражного суда Уральского округа от 26.12.2019, то на момент обращения заявителя срок, установленный статьёй 291.2 Арбитражного процессуального кодекса Российской Федерации, истёк. Обществом заявлено ходатайство о восстановлении пропущенного процессуального срока. В качестве причины пропуска срока общество ссылается на неполучение копии обжалуемого постановления суда округа и незначительность пропущенного срока. Вместе с тем, процессуальным законом не предусмотрено исчисление срока на обжалование с момента получения заявителем копии судебного акта. Как следует из информации, размещённой на официальном сайте арбитражных судов (www.arbitr.ru), постановление Арбитражного суда Уральского округа от 26.12.2019 было опубликовано в общедоступной базе судебных актов 27.12.2019,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в суде округа являлось само общество, генеральный директор и представитель которого принимали участие в судебном заседании суда округа. Таким образом, общество доподлинно знало о состоявшихся судебных актах и имело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Ввиду подачи заявителем настоящей жалобы в электронном виде, платёжное поручение об уплате государственной пошлины с подлинной 3 отметкой банка о его исполнении в суд не поступало. Исходя из положений статей 333.18, 333.40 Налогового кодекса Российской Федерации, подтверждением уплаты государственной пошлины являются платежные поручения и квитанции с подлинной отметкой банка об их исполнении.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 государственная пошлина не подлежит возврату данным определением. Заявитель вправе обратиться в суд с ходатайством о возврате уплаченной государственной пошлины с предоставлением документа, подтверждающего её уплату (оригинала платёжного поручения от 17.01.2020 № 47 на сумму 3 000 (три тысячи) рублей 00 копеек с подлинной отметкой банка о зачислении государственной пошлины в доход федерального бюджета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«Спайдермаш» о восстановлении пропущенного процессуального срока отказать. Кассационную жалобу общества с ограниченной ответственностью «Спайдермаш» на определение Арбитражного суда Свердловской области от 30.08.2019, постановление Семнадцатого арбитражного апелляционного суда от 07.11.2019 и постановление Арбитражного суда Уральского округа от 26.12.2019 по делу № А60-46584/2017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