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«Унистрой» (покупатель) обратилось в Арбитражный суд Московской области с иском о взыскании с общества с ограниченной ответственностью «Экостеп» (продавца) 1 260 000 рублей задолженности (предварительной оплаты) и 84 420 рублей неустойки. Решением Арбитражного суда Московской области от 20.05.2019 в удовлетворении иска отказано. Постановлением Десятого арбитражного апелляционного суда от 23.07.2019 решение суда первой инстанции оставлено без изменения. Арбитражный суд Московского округа постановлением от 18.11.2019 указанные судебные акты оставил без изменения. Общество с ограниченной ответственностью «Унистрой»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признав доказанным факт поставки товара, руководствуясь положениями статей 309 , 310 , 454 , 457 , 487 , 506 Гражданского кодекса Российской Федерации, суды пришли к выводу об отсутствии оснований для возврата уплаченного аванса.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Из текстов принятых по делу судебных актов не следует, что посредством аудиозаписи были зафиксированы сведения, послужившие основанием для принятия судебных актов.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«Унистрой»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"Унистрой" (подробнее) Ответчики: ООО "Экостеп" (подробнее) Иные лица: ООО "ТехСтройЭкспертиза"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