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31.10.2019 исковое требование удовлетворено частично, с ответчика в пользу истца взыскано 500 000 рублей задолженности, 2 237 550 рублей неустойки, а также неустойка, начисленная до момента фактического исполнения обязательства. Постановлением Девятого арбитражного апелляционного суда от 06.09.2019, оставленным без изменения постановлением Арбитражного суда Московского округа от 26.11.2019, решение суда первой инстанции отменено, в удовлетворении иска отказано. В кассационной жалобе, поданной в Верховный Суд Российской Федерации, департамент просит отменить судебные акты судов апелляционной инстанции и округа,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 и следует из материалов дела, между департаментом и обществом заключен договор, на основании которого последнему в целях реализации проекта «Создание направления по производству и сварке ленточных пил для металлообрабатывающих станков» предоставлена субсидия в размере 500 000 рублей. В целях контроля целевого использования бюджетных средств стороны предусмотрели в договоре порядок и форму отчетности, подтверждающие целевое использование бюджетных средств (пункты 3.7, 3.8, 3.9 договора). Департамент 03.11.2016 направил в адрес общества требование о предоставлении в срок до 02.12.2016 документов, предусмотренных пунктами 3.7. и п. 3.8. договора. В связи с оставлением требования без ответа и удовлетворения, в адрес общества направлено требование о возврате бюджетных средств и уплате неустойки, неисполнение которого послужило основанием для обращения департамента в арбитражный суд. Отказывая в удовлетворении иска, суд апелляционной инстанции, руководствуясь положениями статей 196 , 199 , 200 , 202 , 203 , 309 , 310 Гражданского кодекса Российской Федерации, принимая во внимание условия заключенного между сторонами договора, пришел к выводу о пропуске департаментом срока исковой давности на обращение с настоящим требованием в арбитражный суд, с чем согласился суд округа. Судебные инстанции исходили из того, что отчет о выполнении комплекса мероприятий, предусмотренных проектом, бизнес-планом и акт об исполнении договора подлежат представлению в департамент не позднее 30.09.2013, следовательно, срок исковой давности по требованиям, вытекающим из данного обязательства ответчика по договору, подлежит исчислению с 01.10.2013 и истек 01.10.2016. Ссылка департамента на положения статей 197 , 208 Гражданского кодекса Российской Федерации, статьи 93.4 Бюджетного кодекса Российской Федерации и правовую позицию, изложенную в постановлении Конституционного Суда Российской Федерации от 20.07.2011 № 20-П, признается несостоятельной как основанная на ошибочном применении положений законодательства к обстоятельствам спора. В рассматриваемом случае применение судами исковой давности, установленной гражданским законодательством, обусловлено возникновением спорных обязательств из гражданских правоотношений, на которые соответствующее правило бюджетного законодательства не распространяется. Доводы, изложенные в кассационной жалобе, не опровергают выводы судов апелляционной инстанции и округа, были предметом их рассмотрения и по результатам проверки по материалам истребованного дела не нашли подтверждения существенного нарушения норм материального и процессуального права, повлиявших на исход дела. При таких обстоятельствах, оснований для передачи кассационной жалобы на рассмотрение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предпринимательства и инновационного развития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Департамент инвестиционной и промышленной политики города Москвы (подробнее) Департамент предпринимательства и инновационного развития города Москвы (подробнее) Ответчики: ООО "КОСКО" (подробнее) Судьи дела: Антонова М.К.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