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«Электромонтаж гарант» обратилось в Арбитражный суд Московской области с иском о взыскании с общества с ограниченной ответственностью «МонолитИнвест» 6 233 120 рублей 70 копеек задолженности за оказанные услуги и 214 419 рублей 33 копеек неустойки. Решением Арбитражного суда Московской области от 03.04.2019 в удовлетворении иска отказано. Постановлением Десятого арбитражного апелляционного суда от 25.06.2019 решение суда первой инстанции оставлено без изменения. Арбитражный суд Московского округа постановлением от 18.11.2019 указанные судебные акты оставил без изменения. Общество с ограниченной ответственностью «Электромонтаж Гарант»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судебным актом по делу № А40-205546/2016, руководствуясь положениями статей 450.1 , 779 , 781 Гражданского кодекса Российской Федерации, суды сделали вывод о недоказанности факта оказания исполнителем услуг заказчику по договору от 25.05.2017 № 14-2017 об оказании юридических услуг. Доводы жалобы, с учетом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«Электромонтаж Гарант»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"ЭЛЕКТРОМОНТАЖ ГАРАНТ" (подробнее) Ответчики: ООО "МОНОЛИТИНВЕСТ"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