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внесении изменений в реестр требований кредиторов и исключении в связи с односторонним отказом от исполнения договоров, предусматривающих передачу жилых помещений, из реестра требований о передаче жилых помещений должника его требования о передаче квартир, расположенных в жилом доме по строительному адресу: Московская область, г. Балашиха, мкр. 25, корп. 33, включив денежные требования в реестр требований кредиторов. Определением Арбитражного суда Московской области от 22.03.2019, оставленным без изменения постановлениями Десятого арбитражного апелляционного суда от 25.07.2019 и Арбитражного суда Московского округа от 08.11.2019, внесены изменения в реестр требований кредиторов должника: исключены из него требования кредитора о передаче жилых помещений, расположенных по строительному адресу: Московская область, г. Балашиха, мкр. 25, корп. 33, со следующими проектными характеристиками: трёхкомнатная квартира 4, этаж 3, с условным номером на площадке 3, проектной площадью 82,5 кв.м., оплаченной стоимостью 4 125 000 рублей, трёхкомнатная квартира секция 4, этаж 13, с условным номером на площадке 3, проектной площадью 83 кв.м., оплаченной стоимостью 4 150 000 рублей; трёхкомнатная квартира секция 4, этаж 24, с условным номером на площадке 3,проектной площадью 83 кв.м., оплаченной стоимостью 4 150 000 рублей, 2 в четвёртую очередь реестра требований кредиторов должника включено требование кредитора в размере 12 425 000 рублей долга. В кассационной жалобе, поданной в Верховный Суд Российской Федерации, заявитель просит отменить указанные судебные акты в части включения его требований в четвёртую очередь реестра требований кредиторов должника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201.1, 201.9, 201.10 Федерального закона от 26.10.2002 № 127-ФЗ «О несостоятельности (банкротстве)» и исходили из того, что денежные обязательства должника перед первоначальным кредитором и участником строительства – обществом с ограниченной ответственностью «ВЕЗА» изначально относились к четвёртой очереди, а уступка требований из этих обязательств заявителю после возбуждения настоящего дела о банкротстве не изменяет указанную очерёдность.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Литвиненко Андрею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