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30.04.2019, оставленным без изменения постановлениями Девятого арбитражного апелляционного суда от 28.08.2019 и Арбитражного суда Московского округа от 29.11.2019,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признанием приговором Люблинского районного суда города Москвы от 05.02.2018 фиктивности трудоустройства ФИО1 и возвратом ранее выплаченных ФИО1 сумм, общество 17.06.2018 обратилось в налоговый орган с заявлением о возврате налоговому агенту 809 990 рублей НДФЛ, уплаченного в бюджет в 2014, 2015 годах. Решением инспекции от 29.06.2018 № 239 налогоплательщику отказано в возврате суммы НДФЛ в связи с пропуском трехлетнего срока со дня уплаты. Решением Управления Федеральной налоговой службы по городу Москве от 31.10.2018 № 21-19/226833@, вынесенным по результатам рассмотрения жалобы общества, решение инспекции оставлено без изменения. Указанные обстоятельства послужили основанием для обращения налогоплательщика в арбитражный суд с заявленным требованием.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78 , 79 , 231 Налогового кодекса Российской Федерации, с учетом правовой позиции, изложенной в постановлением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суды пришли к выводу об отсутствии оснований для удовлетворения требования. При этом судебные инстанции исходили из того, что спорная переплата возникла в результате платежей, произведенных обществом в период, находящийся за пределами трехлетнего срока, предшествующего дате подачи в инспекцию заявления о возврате налога, а также пропуска обществом трехлетнего срока, установленного для обращения в арбитражный суд с требованием о возврате излишне уплаченного налога. Доводы налогоплательщика о том, что юридическому лицу (в лице нового исполнительного органа - управляющей организации) стало известно об излишней уплате суммы НДФЛ с даты вынесения приговора (с 05.02.2018), являлись предметом рассмотрения судов и получили надлежащую правовую оценку,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общества по существу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«Атомтехэкспорт»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"АТОМТЕХЭКСПОРТ" (подробнее) Ответчики: Инспекция Федеральной налоговой службы №23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