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22.04.2019, оставленным без изменения постановлением Девятого арбитражного апелляционного суда от 16.07.2019 и постановлением Арбитражного суда Московского округа от 06.11.2019, в удовлетворении иска отказано. В кассационной жалобе, поданной в Верховный Суд Российской Федерации, корпорация просит отменить указанные судебные акты, ссылаясь на нарушение судами норм материального права.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в том числе условия заключенного сторонами государственного контракта от 19.10.2016 № 256-0203/16/159, суды первой и апелляционной инстанций установили факт выполнения и сдачи ответчиком работ в согласованные сроки и, руководствуясь статьями 309 , 310 , 314 , 330 , 422 , 702 , 708 , 773 Гражданского кодекса Российской Федерации, пришли к выводу об отсутствии оснований для удовлетворения иска, с чем впоследствии согласился суд округа. Доводы заявителя о несогласии с толкованием судами условий контракта, нарушении ответчиком сроков работ и наличии оснований для взыскания неустойки аналогичны доводам, заявлявшимся ранее в судах, которым дана правовая оценка. Доводы кассационной жалобы не опровергают выводы судов, направлены на переоценку обстоятельств дела, установленных судами, и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статьей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Государственной корпорации по космической деятельности «Роскосмос»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Судьи дела: Чучунова Н.С. (судья) (подробнее) Судебная практика по: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