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22.04.2019, оставленным без изменения постановлением Девятого арбитражного апелляционного суда от 10.07.2019 и постановлением Арбитражного суда Московского округа от 06.11.2019, в удовлетворении иска отказано. В кассационной жалобе, поданной в Верховный Суд Российской Федерации, корпорация просит отменить указанные судебные акты, ссылаясь на нарушение судами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заключенного сторонами государственного контракта от 30.09.2016 № 851-0314/16/138, установили факт выполнения и сдачи ответчиком работ в согласованные сроки и, руководствуясь положениями статей 330 , 708 , 768 , 769 , 773 , 774 , 778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иска, с чем впоследствии согласился суд округа. Доводы заявителя о несогласии с толкованием судами условий контракта, нарушении ответчиком сроков работ и наличии оснований для взыскания неустойки аналогичны доводам, заявлявшимся ранее в судах, которым дана правовая оценка.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Государственной корпорации по космической деятельности «Роскосмос»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