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17.06.2018, оставленным без изменения постановлением Десятого арбитражного апелляционного суда от 22.07.2019 и постановлением Арбитражного суда Московского округа от 05.11.2019, в удовлетворении заявленных требований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принять новый судебный акт об удовлетворении заявленных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Отказывая в удовлетворении заявленных требований, суды руководствовались положениями статей 309 , 310 , 715 , 763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и исходили из правомерности принятия ответчиком решения об одностороннем отказе от исполнения контракта ввиду ненадлежащего исполнения обществом своих обязательств. В судебных актах приведены подробные мотивы, по которым суды пришли к такому выводу, с указанием на конкретные обстоятельства и доказательства, исследованные и оцененные по правилам статьи 71 Арбитражного процессуального кодекса Российской Федерации. Доводы кассационной жалобы не опровергают выводы судов, направлены на переоценку обстоятельств дела, установленных судами,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«Волгоэнергопромстройпроект»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