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27.03.2019, оставленным без изменения постановлением Третьего арбитражного апелляционного суда от 20.06.2019 и постановлением Арбитражного суда Восточно-Сибирского округа от 08.11.2019, в удовлетворении заявленных требований отказано. В кассационной жалобе, поданной в Верховный Суд Российской Федерации, общество, ссылаясь на нарушение судами норм права, просит 2 отменить указанные судебные акты и направить дело на новое рассмотрение в Арбитражный суд Красноярского края.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Отказывая в удовлетворении заявленных требований, суды руководствовались статьями 195, 196, 200 Гражданского кодекса Российской Федерации, разъяснениями, приведенными в пунктах 10, 15 постановления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и исходили из пропуска обществом срока исковой давности, о чем было заявлено ответчиком, а также отсутствия предусмотренных статьей 188.1 Арбитражного процессуального кодекса Российской Федерации оснований для вынесения частного определения. Доводы кассационной жалобы выводы судов не опровергают и не подтверждают существенных нарушений норм материального и процессуального права, повлиявших на исход дела. Поскольку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имеется, ходатайство заявителя об участии в судебном заседании путем использования систем видео-конференц-связи рассмотрению не подлежит. Учитывая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«Трасса-Экспресс»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