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24.06.2019, оставленным без изменения постановлением Десятого арбитражного апелляционного суда от 05.09.2019 и постановлением Арбитражного суда Московского округа от 05.12.2019, в удовлетворении первоначальных исковых требований отказано; встречные исковые требования удовлетворены в части признания недействительным заявление о зачете от 06.02.2019 № 01-02 и взыскания с общества в пользу компании денежных средств в размере 3 130 197 руб. 15 коп. В кассационной жалобе, поданной в Верховный Суд Российской Федерации, общество, ссылаясь на нарушение судами норм материального права, несоответствие их выводов фактическим обстоятельствам дела,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Предъявленные взаимные требования общества (застройщика) и компании (подрядчика) основаны на договоре подряда от 20.01.2015 № 01-15/ТС в редакции дополнительных соглашений (далее – договор).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признали неподтвержденными факты завышения подрядчиком работ, нарушения им обязательств по договору, а также наличия его вины в происхождении выявленных обществом дефектов. Установив объем работ, выполненных подрядчиком, принятых застройщиком и прошедших проверку технического заказчика, размер перечисленного компании аванса, учитывая факты сдачи объекта в эксплуатацию и непредъявления подрядчику в предусмотренном договором порядке претензий относительно качества выполненных работ в течение гарантийного срока, а также условия договора о порядке возврата гарантийного удержания, суды пришли к выводу о наличии у общества обязанности по его возврату. Исходя из того, что заявление о зачете встречных однородных требований направлено компании после предъявления к ней иска, а указанных в письме обязательств фактически не существовало, суды признали данное заявление недействительной сделкой. При таких обстоятельствах, руководствуясь статьями 168 , 309 , 310 , 410 , 711 , 720 , 721 , 722 , 724 , 740 , 748 , 753 , 755 , 1102 Гражданского кодекса Российской Федерации, суды отказали в удовлетворении первоначального иска и частично удовлетворили встречный иск. С указанными выводами впоследствии согласился суд округа.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обжалуемых судебных актов рассмотрению не подлежит.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«ГРАД»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"ГРАД" (подробнее) Ответчики: ООО "ТЕХНОЛОГИИ СЕВЕРА"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