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05.04.2019, оставленным без изменения постановлением Девятого арбитражного апелляционного суда от 22.07.2019 и постановлением Арбитражного суда Московского округа от 12.11.2019, первоначальный иск удовлетворен,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в части удовлетворения первоначального иска и отказа в удовлетворении встречного иска и направить дело в указанной части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для пересмотра обжалуемых судебных актов в кассационном порядке по доводам, изложенным заявителем жалобы,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условия государственного контракта от 19.12.2017 № ФКУ0779/12/2017, а также обстоятельства его исполнения сторонами, руководствуясь положениями статей 307 , 309 , 310 , 330 , 702 , 779 , 781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первой и апелляционной инстанций пришли к выводу о наличии оснований для удовлетворения первоначального иска и отказа в удовлетворении встречного иска, исходя из подтвержденности факта ненадлежащего исполнения обществом обязательств по контракту. Выводы судов подробно мотивированы в обжалуемых судебных актах, основаны на представленных в материалы дела доказательствах и установленных на их основании фактических обстоятельствах. Доводы кассационной жалобы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«СТИ-ПОРТ»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Федеральное казенное учреждение "Центр по обеспечению деятельности Казначейства России" (подробнее) Ответчики: ООО "СТИ-ПОРТ"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