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26.12.2018 иск удовлетворен. Постановлением Второго арбитражного апелляционного суда от 11.06.2019 решение суда первой инстанции отменено, в удовлетворении иска отказано. Постановлением Арбитражного суда Волго-Вятского округа от 29.10.2019 постановление суда апелляционной инстанции оставлено без изменения. В кассационных жалобах, поданных в Верховный Суд Российской Федерации, общество и Спиридонов И.Ф., ссылаясь на нарушение судами апелляционной инстанции и округа норм права, просят отменить их постановления и оставить в силе решение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инстанции, руководствуясь положениями статей 307, 702, 715, 716, 717, 779, 782, 783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признав недобросовестным поведение общества (исполнителя), которое продолжило выполнение работ по контракту при наличии оснований для их приостановления, пришел к выводу об отсутствии у него права на возмещение спорных затрат, в связи с чем отказал в удовлетворении иска. С указанными выводами впоследствии согласился суд округа. Доводы кассационных жалоб были предметом рассмотрения судов, не опровергают их выводы,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«И-Эйдж» и Спиридонова Игоря Федоровича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