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удовлетворить.Срок подачи кассационной жалобы на постановление Второго арбитражного апелляционного суда от 11.06.2019 и постановление Арбитражного суда Волго-Вятского округа от 29.10.2019 по делу № А29-11085/2018 восстановить.Судья Верховного Суда Российской Федерации Н.С. Чучунова Суд: Верховный Суд РФ (подробнее) Истцы: ООО "И-ЭЙДЖ" (подробнее) Ответчики: Министерство Республики Коми имущественных и земельных отношений (подробнее) Иные лица: Арбитражный суд Санкт-Петербурга и Ленинградской области (подробнее) Межрайонная ИФНС №51 по г. Москве (подробнее) Судьи дела: Чучунова Н.С. (судья) (подробнее) Последние документы по делу: Определение от 10 марта 2020 г. по делу № А29-11085/2018 Определение от 28 января 2020 г. по делу № А29-11085/2018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