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перечислений с расчётного счёта должника 25.04.2014 в пользу общества с ограниченной ответственностью «Перспектива» денежных средств в общем размере 1 280 000 рублей; применении последствий недействительности сделки в виде взыскания с общества «Перспектива» в конкурсную массу должника денежных средств в указанном размере. Определением Арбитражного суда Иркутской области от 13.06.2019, оставленным без изменения постановлениями Четвёртого арбитражного апелляционного суда от 09.08.2019 и Арбитражного суда Восточно-Сибирского округа от 13.11.2019,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61.1, 61.2, 61.3 Федерального закона от 26.10.2002 № 127-ФЗ «О несостоятельности (банкротстве)», разъяснениями, приведенными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заявителем совокупности условий для признания недействительными оспариваемых платежей, совершённых в процессе обычной хозяйственной деятельности задолго до возбуждения дела о банкротстве, по признакам причинения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«ЖЭУ Химки» Кушниренко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