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234 236 430 рублей 77 копеек. Определением Арбитражного суда Красноярского края от 14.06.2019, оставленным без изменения постановлениями Третьего арбитражного апелляционного суда от 15.08.2019 и Арбитражного суда Восточно-Сибирского округа от 21.11.2019,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удовлетворить требования.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365 Гражданского кодекса Российской Федерации, статей 19, 71 и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требование общества – поручителя должника, исполнившего за должника его обязательства перед банком, о включении в реестр является формой финансирования должника контролирующим его лицом (входят в одну группу лиц), носит корпоративный характер, осуществлено в условиях имущественного кризиса должника и имеет целью получение контроля над процедурой банкротства заинтересованного лица и уменьшения количества голосов, приходящихся на долю независимых кредиторов, что недопустимо. Такое компенсационное финансирование влечет отнесение на контролирующее лицо всех рисков, в том числе риска утраты данного финансирования на случай объективного банкротства.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«АвиаТрэйд»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