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18.01.2019, оставленным без изменения постановлением Первого арбитражного апелляционного суда от 27.05.2019 и постановлением Арбитражного суда Волго-Вятского округа от 30.10.2019, иск удовлетворен.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вступившие в законную силу судебные акты по делу № А43-36628/2016, установив факт нарушения обществом обязательств по договорам, руководствуясь статьями 309 , 310 , 330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«Богородский городской рынок»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"Монолит" (подробнее) Ответчики: ООО "Богородский городской рынок"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