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«Строительная компания «БАКО» (далее – общество) обратилось в суд с заявлением о включении в реестр требований кредиторов должника 1 357 573 рублей 56 копеек задолженности. Определением Арбитражного суда города Москвы от 19.02.2018, оставленным без изменения постановлениями Девятого арбитражного апелляционного суда от 16.04.2019, требование признано обоснованным и включено в третью очередь реестра. Постановлением Арбитражного суда Московского округа от 20.06.2018 вышеуказанные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03.07.2019, оставленным без изменения постановлениями Девятого арбитражного апелляционного суда от 28.08.2019 и Арбитражного суда Московского округа от 14.11.2019, требование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принятые на новом рассмотрении судебные акты и направить обособленный спор на новое рассмотрение в ином составе судей. 2 03.02.2020 от общества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Повторно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213.24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общества не является текущим, подтверждено документально и заявлено в пределах установленного законом срока, в связи с чем, является обоснованным и подлежит учёту в составе третьей очереди реестра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Андрееву Андрею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