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Иркутской области от 15.07.2019, оставленным без изменения постановлениями Четвертого арбитражного апелляционного суда от 09.10.2019 и Арбитражного суда Восточно-Сибирского округа от 19.12.2019, в удовлетворении заявленного требования отказано. В жалобе общество ставит вопрос об отмене принятых по делу судебных актов, ссылаясь на нарушение судами норм права, неисследование имеющихся в деле доказательств.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обратилось в антимонопольный орган с жалобой на действия комиссии учреждения (заказчик) при проведении запроса котировок в электронной форме на право заключения контракта на оказание услуг по дератизации и дезинсекции для нужд учреждения, выразившиеся в признании общества не соответствующим требованиям, установленным извещением о проведении запроса котировок в электронной форме к участникам запроса котировок в электронной форме. По результатам рассмотрения жалобы управлением принято решение, согласно которому жалоба общества признана необоснованной. Не согласившись с решением антимонопольного органа,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04.05.2011 № 99-ФЗ «О лицензировании отдельных видов деятельности», пришли к выводу о том, что решение управления соответствует действующему законодательству и не нарушает права и законные интересы заявителя, с чем согласился суд округа. Судебные инстанции исходили из того, что в представленной обществом лицензии указаны адреса места осуществления лицензируемого вида деятельности, выполняемой работы, оказываемой услуги в составе лицензируемого вида деятельности - город Абакан и город Красноярск, переоформление лицензии в целях осуществления медицинской деятельности по иному адресу (город Усть-Илимск) на момент рассмотрения закупочной комиссией заявок участников не произведено. При этом как указали суды, законодателем установлен запрет на осуществление лицензируемого вида деятельности по адресу, не указанному в лицензии до того момента, как будет переоформлена лицензия; право на осуществление лицензируемого вида деятельности предоставляется лицу исключительно в отношении адресов, указанных в лицензии в качестве места осуществления соответствующего вида деятельности. Данный вывод соответствует правовой позиции Верховного Суда Российской Федерации, изложенной в определении Судебной коллегии по экономическим спорам Верховного Суда Российской Федерации от 10.08.2018 № 301-КГ18-2640. Доводы заявителя, изложенные в кассационной жалобе, являлись предметом рассмотрения судов трех инстанций и получили надлежащую правовую оценку. По существу доводы общества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«Данделион»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"Данделион" (подробнее) Ответчики: Управление Федеральной антимонопольной службы по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