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29.05.2019, оставленным без изменения постановлением Третьего арбитражного апелляционного суда от 13.08.2019 и постановлением Арбитражного суда Восточно-Сибирского округа от 19.11.2019,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либо удовлетворить требование, не передавая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общества инспекцией вынесено решение, которым доначислены налог на добавленную стоимость (далее - НДС) и налог на доходы физических лиц в общей сумме 4 363 748 рублей, пени в сумме 1 378 940 рублей 33 копеек и штраф в сумме 503 403 рублей 80 копеек. Основанием для доначисления НДС послужил вывод инспекции о необоснованном получении обществом налоговой выгоды в виде применения вычетов по хозяйственным операциям с обществами «Акус» и «Трансторг». Не согласившись с решением инспекции, общество обратилось в арбитражный суд. Исследовав и оценив представленные в материалы дела доказательства, суды согласились с выводами налогового органа о том, что представленные обществом по взаимоотношениям с ООО «Акус» первичные учетные документы содержат недостоверные сведения, не подтверждают реальность спорных хозяйственных операций заявителя с указанным контрагентом, направлены на создание фиктивного документооборота в целях получения необоснованной налоговой выгоды. Судебные инстанции отметили, что договор заключен при наличии возможности поставки оборудования напрямую производителем заявителю, уплачиваемая покупателем за приобретаемый товар сумма в 6,5 раз превышает стоимость аналогичного оборудования, установленную турецким производителем, перечисление денежных средств носило транзитный характер. По взаимоотношениям с ООО «Трансторг» суды указали, что обществом не представлены первичные документы, подтверждающие наличие финансово- хозяйственных отношений с контрагентом, данное юридическое лицо не обладает достаточными материальными, трудовыми и финансовыми ресурсами для осуществления деятельности, по адресу, указанному в копии счета- фактуры, не находится. Установив указанные обстоятельства, руководствуясь положениями статей 169 , 171 , 172 Налогового кодекса,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законности решения инспекции. Доводы общества, изложенные в жалобе, в том числе о реальности сделки с ООО «Акус», необоснованном начислении штрафных санкций без учета смягчающих обстоятельств, являлись предметом рассмотрения судов и получили надлежащую правовую оценку, не подтверждают существенных нарушений норм материального и процессуального права, повлиявших на исход дела. Указанные доводы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«Оптиум»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"Оптиум" (подробнее) ООО Представитель "Оптиум" Потехина Е.В. (подробнее) Ответчики: Межрайонная инспекция Федеральной налоговой службы №22 по Красноярскому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