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24.06.2019, оставленным без изменения постановлением Двенадцатого арбитражного апелляционного суда от 05.09.2019, заявленное требование удовлетворено. Постановлением Арбитражного суда Поволжского округа от 05.12.2019 судебные акты отменены, дело направлено на новое рассмотрение в суд первой инстанции. В кассационной жалобе, поданной в Верховный Суд Российской Федерации, общество, ссылаясь на существенное нарушение норм права, просит отменить постановление суда округа и оставить в силе решение суда первой инстанции и постановление апелляционного суда.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следует из судебных актов, инспекцией при проведении выездной налоговой проверки деятельности общества установлено, что в проверяемом периоде между заявителем (продавец) и ООО «ВолгаИнвест» (покупатель) заключены договоры купли - продажи электрической энергии от 01.11.2015 № 01-ЭЭ/ЭВ-2015 и от 01.11.2015 № 01-ВЗ-ЭВ-2015 о возмещении затрат, связанных с содержанием объекта. Кроме того, 19.10.2016 между обществом (цедент) и ООО «Стройтех» (цессионарии) заключен договор уступки прав требований, в соответствии с которым общество уступило ООО «Стройтех» право требования задолженности в сумме 39 993 424 рублей 83 копеек, возникшей в результате неисполнения ООО «ВолгаИнвест» обязательств по договорам от 01.11.2015 № 01-ВЗ/ЭВ-2015, № 01-ЭЭ/ЭВ-2015. При этом денежные средства в сумме 18 000 000 рублей обществу от ООО «Стройтех» в рамках договора уступки прав требований не поступали и взысканы обществом в судебном порядке. После заключения договора уступки прав требований денежные средства в сумме 39 993 424 рублей 83 копеек перечислены ООО «ВолгаИнвест» на счет общества. Указанные денежные средства частично направлены на погашение займа в адрес ООО «Слава-Синима». Установив получение обществом дохода в сумме 39 993 424 рублей 83 копеек, инспекция пришла к выводу о том, что обществом необоснованно в спорный период применялась упрощенная система налогообложения (далее - УСН) в связи с превышением показателей, установленных для ее применения. По результатам выездной налоговой проверки вынесено решение, которым доначислены налог на прибыль, налог на добавленную стоимость, соответствующие суммы пеней и штрафа. Признавая решение инспекции недействительным, суды первой и апелляционной инстанций, оценив представленные в материалы дела доказательства, руководствуясь положениями статей 346.11 , 346.13 , 346.15 Налогового кодекса Российской Федерации, статей 154 , 432 Гражданского кодекса Российской Федерации, учитывая разъяснения, изложенные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пришли к выводу о недоказанности налоговым органом совокупности обстоятельств, свидетельствующих о получении необоснованной налоговой выгоды. Отменяя судебные акты, суд округа исходил из того, что выводы судебных инстанций не соответствуют фактическим обстоятельствам дела и имеющимся в деле доказательствам. Суд округа отметил, что судами не дана оценка доводам инспекции о взаимозависимости обществ «Энерговолга», «Слава-синема», «Стройтех», показаниям конкурсного управляющего ООО «Волгаинвест», обстоятельствам заключения договора уступки с ООО «Стройтех». Направляя дело на новое рассмотрение в суд первой инстанции с целью установления фактических обстоятельств дела, исследования и оценки доказательств, имеющих значение для дела, суд округа действовал в пределах полномочий, предусмотренных статьями 287 , 288 Арбитражного процессуального кодекса Российской Федерации. Доводы общества, изложенные в кассационной жалобе, не подтверждают нарушения судом округа норм права при вынесении обжалуемого постановления.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 таких обстоятельствах отсутствуют основания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«ЭнергоВолга»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"ЭНЕРГОВОЛГА" (подробнее) Ответчики: Межрайонная инспекция Федеральной налоговой службы №4 по Волгоградской области (подробнее) Судьи дела: Антонова М.К. (судья) (подробнее) Судебная практика по: Признание договора незаключенным Судебная практика по применению нормы ст. 432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