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Мицкевич Е.Л. и Санникова М.Г. обратились в суд с заявлением о включении в реестр требований кредиторов должника требования в размере 9 730 756 рублей 15 копеек, как обеспеченного залогом имущества должника. Определением Арбитражного суда города Санкт-Петербурга и Ленинградской области от 21.06.2019, оставленным без изменения постановлениями Тринадцатого арбитражного апелляционного суда от 30.08.2019 и Арбитражного суда Северо-Западного округа от 14.11.2019, заявление возвращено заявителям. В кассационной жалобе, поданной в Верховный Суд Российской Федерации, заявители просят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Возвращая заявление, суд первой инстанции, руководствуясь статьями 16, 60, 201.1, 201.4 Федерального закона от 26.10.2002 № 127-ФЗ «О несостоятельности (банкротстве)», исходил из того, что требование является денежным и подлежит рассмотрению конкурсным управляющим должника во внесудебном порядке. С указанными выводами впоследствии согласились суды апелляционной инстанции и округа, указав, что площадь нежилого помещения по договору участия в долевом строительстве имеет значение для целей квалификации требования о передаче нежилого помещения, а не для денежного требования, заявленного в настоящем случае.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Мицкевич Елене Леонидовне и Санникову Михаилу Геннадьевичу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