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Белков Евгений Вячеславович обратился в суд с заявлением о признании недействительными сделок по перечислению Киреевой Е.В. в период с 04.05.2017 по 05.06.2017 денежных средств в общей сумме 2 773 319 рублей 01 копейка, применении последствий недействительности сделок; взыскании с Киреевой Е.В. 322 605 рублей 96 копеек процентов за пользование чужими денежными средствами, начисленных с даты совершения платежей до 14.01.2019, и далее по день фактического возврата денежных средств. Определением Арбитражного суда Костромской области от 30.04.2019, оставленным без изменения постановлениями Второго арбитражного апелляционного суда от 18.07.2019 и Арбитражного суда Волго-Вятского округа от 18.11.2019, заявление удовлетворено в части признания недействительной сделки и применения последствий её недействительности.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 в полном объёме.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61.1, 61.3, 61.4, 61.8 Федерального закона от 26.10.2002 № 127-ФЗ «О несостоятельности (банкротстве)», пунктами 11, 29.1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доказанности совокупности условий для признания оспариваемых платежей недействительными сделками, совершёнными в период подозрительности и повлекшими за собой оказание заявителю предпочтения перед иными кредиторами, имевшими к должнику на момент их совершения непогашенные денежные требования,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Киреевой Елене Вячеславовне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