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Управление делами Президента Российской Федерации обратилось в суд с заявлением о включении в реестр требований кредиторов должника требований в размере 1 893 476 919 рублей 06 копеек – неотработанный аванс, 88 772 941 рубля 86 копеек – проценты за пользование чужими денежными средствами, 1 167 658 731 рубля 39 копеек – стоимость оплаченного и неустановленного оборудования, 4 420 397 186 рублей 82 копеек – стоимость работ, 2 197 958 583 рублей 46 копеек – проценты за пользование чужими денежными средствами. Впоследствии произведена процессуальная замена Управления делами Президента Российской Федерации на Федеральную налоговую службу. Определением Арбитражного суда города Москвы от 21.05.2019, оставленным без изменения постановлениями Девятого арбитражного апелляционного суда от 15.07.2019 и Арбитражного суда Московского округа от 31.10.2019, заявление удовлетворено частично, в реестр требований кредиторов должника включены требования в размере 1 893 476 919 рублей 06 копеек – неотработанный аванс, и 87 994 800 рублей 69 копеек – пени, отказано в остальной части требований. 2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требований, направить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453 Гражданского кодекса Российской Федерации, статьи 16 Федерального закона от 26.10.2002 № 127-ФЗ «О несостоятельности (банкротстве)», признав надлежащим исполнение должником своих обязательств по оспариваемым требованиям, касающимся поставки оборудования и выполнения работ, принятых заказчиком по соответствующим актам, пришли к выводу о необоснованности заявления в данной части.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делами Президента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