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конкурсной массы транспортного средства «Тойота Хайс», 2006 года выпуска, как единственного источника дохода должника. Определением Арбитражный суд Хабаровского края от 29.08.2019, оставленным без изменения постановлением Шестого арбитражного апелляционного суда от 13.11.2019, заявление удовлетворено. Постановлением Арбитражного суда Дальневосточного округа от 22.01.2020 отменены определение суда первой инстанции от 29.08.2019 и постановление апелляционного суда от 13.11.2019, отказано в удовлетворении требований. Не согласившись с вышеуказанным постановлением суда округа, Пак В.Г. обратился в Верховный Суд Российской Федерации с кассационной жалобой, заявив ходатайство о приостановлении исполнения обжалуемого судебного акта.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затруднительность возможного поворота исполнения обжалуемого судебного акта, что не свидетельствует о направленности испрашиваемой меры 2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Пака Всеволода Георгиевича о приостановлении исполнения постановления Арбитражного суда Дальневосточного округа от 22.01.2020 по делу № А73-19166/2018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