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Сливка Михаил Викторович обратился в суд с заявлением о признании недействительными сделками актов потребления должником тепловой энергии, применении последствий недействительности сделок. Определением Арбитражного суда города Москвы от 25.03.2019, оставленным без изменении постановлением Девятого арбитражного апелляционного суда от 17.06.2019, в удовлетворении заявления отказано. Постановлением Арбитражного суда Московского округа от 12.11.2019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окружной суд руководствовался статьями 153, 433, 435, 438 Гражданского кодекса Российской Федерации, статьями 153, 155, 161 Жилищного кодекса Российской Федерации, пунктом 50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того, что принятые по нему судебные акты вынесены без полного исследования всех доказательств и фактических обстоятельств, имеющих существенное значение для правильного разрешения спора, а также вне проверки доводов конкурсного управляющего.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«Московская объединённая энергетическая компания»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