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14.03.2019, оставленным без изменения постановлением Двадцатого арбитражного апелляционного суда от 25.07.2019, первоначальный иск удовлетворен, в удовлетворении встречного иска отказано. Арбитражный суд Центрального округа постановлением от 30.10.2019 решение от 14.03.2019 и постановление Двадцатого арбитражного апелляционного суда от 25.07.2019 оставил без изменения. В кассационной жалобе комбинат просит об отмене указанных судебных актов вследствие непризнания досрочных поставок нарушением согласованного графика поставок.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Правоотношения сторон основаны на договоре поставки от 08.06.2015 № 60/ХТР/06-2015, в котором определены срок оборота железнодорожных вагонов и последствия этого нарушения. Суды установили нарушение комбинатом как покупателем указанного срока, поэтому правомерно применили договорную ответственность. Встречное требование комбината о применении ответственности за нарушение обществом графика поставок отклонено по итогу оценки доказательств, не подлежащей пересмотру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«Новолипецкий металлургический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"Химтрейдинг" (подробнее) Ответчики: ПАО "НОВОЛИПЕЦКИЙ МЕТАЛЛУРГИЧЕСКИЙ КОМБИНАТ"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